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0" w:lineRule="auto"/>
        <w:rPr>
          <w:color w:val="000000"/>
          <w:sz w:val="20"/>
          <w:szCs w:val="20"/>
        </w:rPr>
      </w:pPr>
      <w:bookmarkStart w:colFirst="0" w:colLast="0" w:name="_nz1puperykny" w:id="0"/>
      <w:bookmarkEnd w:id="0"/>
      <w:r w:rsidDel="00000000" w:rsidR="00000000" w:rsidRPr="00000000">
        <w:rPr>
          <w:color w:val="000000"/>
          <w:sz w:val="20"/>
          <w:szCs w:val="20"/>
          <w:rtl w:val="0"/>
        </w:rPr>
        <w:t xml:space="preserve">Christian Beliefs and Practices. </w:t>
      </w:r>
    </w:p>
    <w:p w:rsidR="00000000" w:rsidDel="00000000" w:rsidP="00000000" w:rsidRDefault="00000000" w:rsidRPr="00000000" w14:paraId="00000002">
      <w:pPr>
        <w:pStyle w:val="Heading5"/>
        <w:keepNext w:val="0"/>
        <w:keepLines w:val="0"/>
        <w:spacing w:after="40" w:before="0" w:lineRule="auto"/>
        <w:rPr>
          <w:color w:val="000000"/>
          <w:sz w:val="20"/>
          <w:szCs w:val="20"/>
        </w:rPr>
      </w:pPr>
      <w:bookmarkStart w:colFirst="0" w:colLast="0" w:name="_i5uoirhdwbun" w:id="1"/>
      <w:bookmarkEnd w:id="1"/>
      <w:r w:rsidDel="00000000" w:rsidR="00000000" w:rsidRPr="00000000">
        <w:rPr>
          <w:rtl w:val="0"/>
        </w:rPr>
      </w:r>
    </w:p>
    <w:p w:rsidR="00000000" w:rsidDel="00000000" w:rsidP="00000000" w:rsidRDefault="00000000" w:rsidRPr="00000000" w14:paraId="00000003">
      <w:pPr>
        <w:pStyle w:val="Heading5"/>
        <w:keepNext w:val="0"/>
        <w:keepLines w:val="0"/>
        <w:spacing w:after="40" w:before="0" w:lineRule="auto"/>
        <w:rPr>
          <w:color w:val="000000"/>
          <w:sz w:val="20"/>
          <w:szCs w:val="20"/>
        </w:rPr>
      </w:pPr>
      <w:bookmarkStart w:colFirst="0" w:colLast="0" w:name="_mfiqpia3hmny" w:id="2"/>
      <w:bookmarkEnd w:id="2"/>
      <w:r w:rsidDel="00000000" w:rsidR="00000000" w:rsidRPr="00000000">
        <w:rPr>
          <w:color w:val="000000"/>
          <w:sz w:val="20"/>
          <w:szCs w:val="20"/>
          <w:rtl w:val="0"/>
        </w:rPr>
        <w:t xml:space="preserve">Key beliefs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nature of God:</w:t>
      </w:r>
    </w:p>
    <w:p w:rsidR="00000000" w:rsidDel="00000000" w:rsidP="00000000" w:rsidRDefault="00000000" w:rsidRPr="00000000" w14:paraId="00000006">
      <w:pPr>
        <w:numPr>
          <w:ilvl w:val="1"/>
          <w:numId w:val="1"/>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God as omnipotent, loving and just, and the problem of evil and suffering</w:t>
      </w:r>
    </w:p>
    <w:p w:rsidR="00000000" w:rsidDel="00000000" w:rsidP="00000000" w:rsidRDefault="00000000" w:rsidRPr="00000000" w14:paraId="00000007">
      <w:pPr>
        <w:numPr>
          <w:ilvl w:val="1"/>
          <w:numId w:val="1"/>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oneness of God and the Trinity: Father, Son and Holy Spirit.</w:t>
      </w:r>
    </w:p>
    <w:p w:rsidR="00000000" w:rsidDel="00000000" w:rsidP="00000000" w:rsidRDefault="00000000" w:rsidRPr="00000000" w14:paraId="00000008">
      <w:pPr>
        <w:numPr>
          <w:ilvl w:val="0"/>
          <w:numId w:val="1"/>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Different Christian beliefs about creation including the role of Word and Spirit (John 1:1-3 and Genesis 1:1-3).</w:t>
      </w:r>
    </w:p>
    <w:p w:rsidR="00000000" w:rsidDel="00000000" w:rsidP="00000000" w:rsidRDefault="00000000" w:rsidRPr="00000000" w14:paraId="00000009">
      <w:pPr>
        <w:numPr>
          <w:ilvl w:val="0"/>
          <w:numId w:val="1"/>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Different Christian beliefs about the afterlife and their importance, including: resurrection and life after death; judgement, heaven and hell.</w:t>
      </w:r>
    </w:p>
    <w:p w:rsidR="00000000" w:rsidDel="00000000" w:rsidP="00000000" w:rsidRDefault="00000000" w:rsidRPr="00000000" w14:paraId="0000000A">
      <w:pPr>
        <w:pStyle w:val="Heading5"/>
        <w:keepNext w:val="0"/>
        <w:keepLines w:val="0"/>
        <w:spacing w:after="40" w:before="0" w:lineRule="auto"/>
        <w:rPr>
          <w:color w:val="000000"/>
          <w:sz w:val="20"/>
          <w:szCs w:val="20"/>
        </w:rPr>
      </w:pPr>
      <w:bookmarkStart w:colFirst="0" w:colLast="0" w:name="_j1e3qeul46ej" w:id="3"/>
      <w:bookmarkEnd w:id="3"/>
      <w:r w:rsidDel="00000000" w:rsidR="00000000" w:rsidRPr="00000000">
        <w:rPr>
          <w:color w:val="000000"/>
          <w:sz w:val="20"/>
          <w:szCs w:val="20"/>
          <w:rtl w:val="0"/>
        </w:rPr>
        <w:t xml:space="preserve">Jesus Christ and salvation</w:t>
      </w:r>
    </w:p>
    <w:p w:rsidR="00000000" w:rsidDel="00000000" w:rsidP="00000000" w:rsidRDefault="00000000" w:rsidRPr="00000000" w14:paraId="0000000B">
      <w:pPr>
        <w:numPr>
          <w:ilvl w:val="0"/>
          <w:numId w:val="4"/>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sz w:val="24"/>
          <w:szCs w:val="24"/>
          <w:rtl w:val="0"/>
        </w:rPr>
        <w:t xml:space="preserve">Beliefs and teachings about:</w:t>
      </w:r>
    </w:p>
    <w:p w:rsidR="00000000" w:rsidDel="00000000" w:rsidP="00000000" w:rsidRDefault="00000000" w:rsidRPr="00000000" w14:paraId="0000000C">
      <w:pPr>
        <w:numPr>
          <w:ilvl w:val="1"/>
          <w:numId w:val="4"/>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incarnation and Jesus as the Son of God</w:t>
      </w:r>
    </w:p>
    <w:p w:rsidR="00000000" w:rsidDel="00000000" w:rsidP="00000000" w:rsidRDefault="00000000" w:rsidRPr="00000000" w14:paraId="0000000D">
      <w:pPr>
        <w:numPr>
          <w:ilvl w:val="1"/>
          <w:numId w:val="4"/>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crucifixion, resurrection and ascension</w:t>
      </w:r>
    </w:p>
    <w:p w:rsidR="00000000" w:rsidDel="00000000" w:rsidP="00000000" w:rsidRDefault="00000000" w:rsidRPr="00000000" w14:paraId="0000000E">
      <w:pPr>
        <w:numPr>
          <w:ilvl w:val="1"/>
          <w:numId w:val="4"/>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sin, including original sin</w:t>
      </w:r>
    </w:p>
    <w:p w:rsidR="00000000" w:rsidDel="00000000" w:rsidP="00000000" w:rsidRDefault="00000000" w:rsidRPr="00000000" w14:paraId="0000000F">
      <w:pPr>
        <w:numPr>
          <w:ilvl w:val="1"/>
          <w:numId w:val="4"/>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means of salvation, including law, grace and Spirit</w:t>
      </w:r>
    </w:p>
    <w:p w:rsidR="00000000" w:rsidDel="00000000" w:rsidP="00000000" w:rsidRDefault="00000000" w:rsidRPr="00000000" w14:paraId="00000010">
      <w:pPr>
        <w:numPr>
          <w:ilvl w:val="1"/>
          <w:numId w:val="4"/>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role of Christ in salvation including the idea of atonement.</w:t>
      </w:r>
    </w:p>
    <w:p w:rsidR="00000000" w:rsidDel="00000000" w:rsidP="00000000" w:rsidRDefault="00000000" w:rsidRPr="00000000" w14:paraId="00000011">
      <w:pPr>
        <w:pStyle w:val="Heading4"/>
        <w:keepNext w:val="0"/>
        <w:keepLines w:val="0"/>
        <w:spacing w:after="40" w:before="0" w:line="360" w:lineRule="auto"/>
        <w:rPr>
          <w:color w:val="000000"/>
        </w:rPr>
      </w:pPr>
      <w:bookmarkStart w:colFirst="0" w:colLast="0" w:name="_177sa8lrreut" w:id="4"/>
      <w:bookmarkEnd w:id="4"/>
      <w:r w:rsidDel="00000000" w:rsidR="00000000" w:rsidRPr="00000000">
        <w:rPr>
          <w:color w:val="000000"/>
          <w:rtl w:val="0"/>
        </w:rPr>
        <w:t xml:space="preserve">2. Practices</w:t>
      </w:r>
    </w:p>
    <w:p w:rsidR="00000000" w:rsidDel="00000000" w:rsidP="00000000" w:rsidRDefault="00000000" w:rsidRPr="00000000" w14:paraId="00000012">
      <w:pPr>
        <w:pStyle w:val="Heading5"/>
        <w:keepNext w:val="0"/>
        <w:keepLines w:val="0"/>
        <w:spacing w:after="40" w:before="0" w:lineRule="auto"/>
        <w:rPr>
          <w:color w:val="000000"/>
          <w:sz w:val="20"/>
          <w:szCs w:val="20"/>
        </w:rPr>
      </w:pPr>
      <w:bookmarkStart w:colFirst="0" w:colLast="0" w:name="_p3022bnwke23" w:id="5"/>
      <w:bookmarkEnd w:id="5"/>
      <w:r w:rsidDel="00000000" w:rsidR="00000000" w:rsidRPr="00000000">
        <w:rPr>
          <w:color w:val="000000"/>
          <w:sz w:val="20"/>
          <w:szCs w:val="20"/>
          <w:rtl w:val="0"/>
        </w:rPr>
        <w:t xml:space="preserve">Worship and festivals</w:t>
      </w:r>
    </w:p>
    <w:p w:rsidR="00000000" w:rsidDel="00000000" w:rsidP="00000000" w:rsidRDefault="00000000" w:rsidRPr="00000000" w14:paraId="00000013">
      <w:pPr>
        <w:numPr>
          <w:ilvl w:val="0"/>
          <w:numId w:val="8"/>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Different forms of worship and their significance:</w:t>
      </w:r>
    </w:p>
    <w:p w:rsidR="00000000" w:rsidDel="00000000" w:rsidP="00000000" w:rsidRDefault="00000000" w:rsidRPr="00000000" w14:paraId="00000014">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liturgical, non-liturgical and informal, including the use of the Bible</w:t>
      </w:r>
    </w:p>
    <w:p w:rsidR="00000000" w:rsidDel="00000000" w:rsidP="00000000" w:rsidRDefault="00000000" w:rsidRPr="00000000" w14:paraId="00000015">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private worship.</w:t>
      </w:r>
    </w:p>
    <w:p w:rsidR="00000000" w:rsidDel="00000000" w:rsidP="00000000" w:rsidRDefault="00000000" w:rsidRPr="00000000" w14:paraId="00000016">
      <w:pPr>
        <w:numPr>
          <w:ilvl w:val="0"/>
          <w:numId w:val="8"/>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Prayer and its significance, including the Lord’s Prayer, set prayers and informal prayer.</w:t>
      </w:r>
    </w:p>
    <w:p w:rsidR="00000000" w:rsidDel="00000000" w:rsidP="00000000" w:rsidRDefault="00000000" w:rsidRPr="00000000" w14:paraId="00000017">
      <w:pPr>
        <w:numPr>
          <w:ilvl w:val="0"/>
          <w:numId w:val="8"/>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role and meaning of the sacraments:</w:t>
      </w:r>
    </w:p>
    <w:p w:rsidR="00000000" w:rsidDel="00000000" w:rsidP="00000000" w:rsidRDefault="00000000" w:rsidRPr="00000000" w14:paraId="00000018">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meaning of sacrament</w:t>
      </w:r>
    </w:p>
    <w:p w:rsidR="00000000" w:rsidDel="00000000" w:rsidP="00000000" w:rsidRDefault="00000000" w:rsidRPr="00000000" w14:paraId="00000019">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sacrament of baptism and its significance for Christians; infant and believers' baptism; different beliefs about infant baptism</w:t>
      </w:r>
    </w:p>
    <w:p w:rsidR="00000000" w:rsidDel="00000000" w:rsidP="00000000" w:rsidRDefault="00000000" w:rsidRPr="00000000" w14:paraId="0000001A">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sacrament of Holy Communion/Eucharist and its significance for Christians, including different ways in which it is celebrated and different interpretations of its meaning.</w:t>
      </w:r>
    </w:p>
    <w:p w:rsidR="00000000" w:rsidDel="00000000" w:rsidP="00000000" w:rsidRDefault="00000000" w:rsidRPr="00000000" w14:paraId="0000001B">
      <w:pPr>
        <w:numPr>
          <w:ilvl w:val="0"/>
          <w:numId w:val="8"/>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role and importance of pilgrimage and celebrations including:</w:t>
      </w:r>
    </w:p>
    <w:p w:rsidR="00000000" w:rsidDel="00000000" w:rsidP="00000000" w:rsidRDefault="00000000" w:rsidRPr="00000000" w14:paraId="0000001C">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two contrasting examples of Christian pilgrimage: Lourdes and Iona</w:t>
      </w:r>
    </w:p>
    <w:p w:rsidR="00000000" w:rsidDel="00000000" w:rsidP="00000000" w:rsidRDefault="00000000" w:rsidRPr="00000000" w14:paraId="0000001D">
      <w:pPr>
        <w:numPr>
          <w:ilvl w:val="1"/>
          <w:numId w:val="8"/>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celebrations of Christmas and Easter, including their importance for Christians in Great Britain today.</w:t>
      </w:r>
    </w:p>
    <w:p w:rsidR="00000000" w:rsidDel="00000000" w:rsidP="00000000" w:rsidRDefault="00000000" w:rsidRPr="00000000" w14:paraId="0000001E">
      <w:pPr>
        <w:pStyle w:val="Heading5"/>
        <w:keepNext w:val="0"/>
        <w:keepLines w:val="0"/>
        <w:spacing w:after="40" w:before="0" w:lineRule="auto"/>
        <w:rPr>
          <w:color w:val="000000"/>
          <w:sz w:val="20"/>
          <w:szCs w:val="20"/>
        </w:rPr>
      </w:pPr>
      <w:bookmarkStart w:colFirst="0" w:colLast="0" w:name="_6ag1wloxiefo" w:id="6"/>
      <w:bookmarkEnd w:id="6"/>
      <w:r w:rsidDel="00000000" w:rsidR="00000000" w:rsidRPr="00000000">
        <w:rPr>
          <w:color w:val="000000"/>
          <w:sz w:val="20"/>
          <w:szCs w:val="20"/>
          <w:rtl w:val="0"/>
        </w:rPr>
        <w:t xml:space="preserve">The role of the church in the local and worldwide community</w:t>
      </w:r>
    </w:p>
    <w:p w:rsidR="00000000" w:rsidDel="00000000" w:rsidP="00000000" w:rsidRDefault="00000000" w:rsidRPr="00000000" w14:paraId="0000001F">
      <w:pPr>
        <w:numPr>
          <w:ilvl w:val="0"/>
          <w:numId w:val="3"/>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role of the Church in the local community, including food banks and street pastors.</w:t>
      </w:r>
    </w:p>
    <w:p w:rsidR="00000000" w:rsidDel="00000000" w:rsidP="00000000" w:rsidRDefault="00000000" w:rsidRPr="00000000" w14:paraId="00000020">
      <w:pPr>
        <w:numPr>
          <w:ilvl w:val="0"/>
          <w:numId w:val="3"/>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place of mission, evangelism and Church growth.</w:t>
      </w:r>
    </w:p>
    <w:p w:rsidR="00000000" w:rsidDel="00000000" w:rsidP="00000000" w:rsidRDefault="00000000" w:rsidRPr="00000000" w14:paraId="00000021">
      <w:pPr>
        <w:numPr>
          <w:ilvl w:val="0"/>
          <w:numId w:val="3"/>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importance of the worldwide Church including:</w:t>
      </w:r>
    </w:p>
    <w:p w:rsidR="00000000" w:rsidDel="00000000" w:rsidP="00000000" w:rsidRDefault="00000000" w:rsidRPr="00000000" w14:paraId="00000022">
      <w:pPr>
        <w:numPr>
          <w:ilvl w:val="1"/>
          <w:numId w:val="3"/>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working for reconciliation</w:t>
      </w:r>
    </w:p>
    <w:p w:rsidR="00000000" w:rsidDel="00000000" w:rsidP="00000000" w:rsidRDefault="00000000" w:rsidRPr="00000000" w14:paraId="00000023">
      <w:pPr>
        <w:numPr>
          <w:ilvl w:val="1"/>
          <w:numId w:val="3"/>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how Christian churches respond to persecution</w:t>
      </w:r>
    </w:p>
    <w:p w:rsidR="00000000" w:rsidDel="00000000" w:rsidP="00000000" w:rsidRDefault="00000000" w:rsidRPr="00000000" w14:paraId="00000024">
      <w:pPr>
        <w:numPr>
          <w:ilvl w:val="1"/>
          <w:numId w:val="3"/>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work of one of the following: Catholic Agency For Overseas Development (CAFOD), Christian Aid, Tearfund.</w:t>
      </w:r>
    </w:p>
    <w:p w:rsidR="00000000" w:rsidDel="00000000" w:rsidP="00000000" w:rsidRDefault="00000000" w:rsidRPr="00000000" w14:paraId="00000025">
      <w:pPr>
        <w:pBdr>
          <w:top w:color="2b2438" w:space="0" w:sz="0" w:val="none"/>
          <w:left w:color="2b2438" w:space="0" w:sz="0" w:val="none"/>
          <w:bottom w:color="2b2438" w:space="0" w:sz="0" w:val="none"/>
          <w:right w:color="2b2438" w:space="0" w:sz="0" w:val="none"/>
          <w:between w:color="2b2438" w:space="0" w:sz="0" w:val="none"/>
        </w:pBdr>
        <w:rPr>
          <w:color w:val="2b2438"/>
        </w:rPr>
      </w:pPr>
      <w:r w:rsidDel="00000000" w:rsidR="00000000" w:rsidRPr="00000000">
        <w:rPr>
          <w:rtl w:val="0"/>
        </w:rPr>
      </w:r>
    </w:p>
    <w:p w:rsidR="00000000" w:rsidDel="00000000" w:rsidP="00000000" w:rsidRDefault="00000000" w:rsidRPr="00000000" w14:paraId="00000026">
      <w:pPr>
        <w:pBdr>
          <w:top w:color="2b2438" w:space="0" w:sz="0" w:val="none"/>
          <w:left w:color="2b2438" w:space="0" w:sz="0" w:val="none"/>
          <w:bottom w:color="2b2438" w:space="0" w:sz="0" w:val="none"/>
          <w:right w:color="2b2438" w:space="0" w:sz="0" w:val="none"/>
          <w:between w:color="2b2438" w:space="0" w:sz="0" w:val="none"/>
        </w:pBdr>
        <w:rPr>
          <w:color w:val="2b2438"/>
        </w:rPr>
      </w:pPr>
      <w:r w:rsidDel="00000000" w:rsidR="00000000" w:rsidRPr="00000000">
        <w:rPr>
          <w:color w:val="2b2438"/>
          <w:rtl w:val="0"/>
        </w:rPr>
        <w:t xml:space="preserve">Islam Beliefs and Practices</w:t>
      </w:r>
    </w:p>
    <w:p w:rsidR="00000000" w:rsidDel="00000000" w:rsidP="00000000" w:rsidRDefault="00000000" w:rsidRPr="00000000" w14:paraId="00000027">
      <w:pPr>
        <w:pBdr>
          <w:top w:color="2b2438" w:space="0" w:sz="0" w:val="none"/>
          <w:left w:color="2b2438" w:space="0" w:sz="0" w:val="none"/>
          <w:bottom w:color="2b2438" w:space="0" w:sz="0" w:val="none"/>
          <w:right w:color="2b2438" w:space="0" w:sz="0" w:val="none"/>
          <w:between w:color="2b2438" w:space="0" w:sz="0" w:val="none"/>
        </w:pBdr>
        <w:rPr>
          <w:color w:val="2b2438"/>
        </w:rPr>
      </w:pPr>
      <w:r w:rsidDel="00000000" w:rsidR="00000000" w:rsidRPr="00000000">
        <w:rPr>
          <w:rtl w:val="0"/>
        </w:rPr>
      </w:r>
    </w:p>
    <w:p w:rsidR="00000000" w:rsidDel="00000000" w:rsidP="00000000" w:rsidRDefault="00000000" w:rsidRPr="00000000" w14:paraId="00000028">
      <w:pPr>
        <w:pStyle w:val="Heading5"/>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Rule="auto"/>
        <w:rPr>
          <w:color w:val="2b2438"/>
          <w:sz w:val="20"/>
          <w:szCs w:val="20"/>
        </w:rPr>
      </w:pPr>
      <w:bookmarkStart w:colFirst="0" w:colLast="0" w:name="_5eqcjwdufuku" w:id="7"/>
      <w:bookmarkEnd w:id="7"/>
      <w:r w:rsidDel="00000000" w:rsidR="00000000" w:rsidRPr="00000000">
        <w:rPr>
          <w:color w:val="2b2438"/>
          <w:sz w:val="20"/>
          <w:szCs w:val="20"/>
          <w:rtl w:val="0"/>
        </w:rPr>
        <w:t xml:space="preserve">Key Beliefs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six articles of faith in Sunni Islam and five roots of Usul ad-Din in Shi’a Islam, including key similarities and differences.</w:t>
      </w:r>
    </w:p>
    <w:p w:rsidR="00000000" w:rsidDel="00000000" w:rsidP="00000000" w:rsidRDefault="00000000" w:rsidRPr="00000000" w14:paraId="0000002B">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Tawhid (the Oneness of God), Qur’an Surah 112.</w:t>
      </w:r>
    </w:p>
    <w:p w:rsidR="00000000" w:rsidDel="00000000" w:rsidP="00000000" w:rsidRDefault="00000000" w:rsidRPr="00000000" w14:paraId="0000002C">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nature of God: omnipotence, beneficence, mercy, fairness and justice/Adalat in Shi’a Islam, including different ideas about God’s relationship with the world: immanence and transcendence.</w:t>
      </w:r>
    </w:p>
    <w:p w:rsidR="00000000" w:rsidDel="00000000" w:rsidP="00000000" w:rsidRDefault="00000000" w:rsidRPr="00000000" w14:paraId="0000002D">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Angels, their nature and role, including Jibril and Mika’il.</w:t>
      </w:r>
    </w:p>
    <w:p w:rsidR="00000000" w:rsidDel="00000000" w:rsidP="00000000" w:rsidRDefault="00000000" w:rsidRPr="00000000" w14:paraId="0000002E">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Predestination and human freedom and its relationship to the Day of Judgement.</w:t>
      </w:r>
    </w:p>
    <w:p w:rsidR="00000000" w:rsidDel="00000000" w:rsidP="00000000" w:rsidRDefault="00000000" w:rsidRPr="00000000" w14:paraId="0000002F">
      <w:pPr>
        <w:numPr>
          <w:ilvl w:val="0"/>
          <w:numId w:val="6"/>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Akhirah (life after death), human responsibility and accountability, resurrection, heaven and hell.</w:t>
      </w:r>
    </w:p>
    <w:p w:rsidR="00000000" w:rsidDel="00000000" w:rsidP="00000000" w:rsidRDefault="00000000" w:rsidRPr="00000000" w14:paraId="00000030">
      <w:pPr>
        <w:pStyle w:val="Heading5"/>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Rule="auto"/>
        <w:rPr>
          <w:color w:val="2b2438"/>
          <w:sz w:val="20"/>
          <w:szCs w:val="20"/>
        </w:rPr>
      </w:pPr>
      <w:bookmarkStart w:colFirst="0" w:colLast="0" w:name="_nrh8vbybywxl" w:id="8"/>
      <w:bookmarkEnd w:id="8"/>
      <w:r w:rsidDel="00000000" w:rsidR="00000000" w:rsidRPr="00000000">
        <w:rPr>
          <w:color w:val="2b2438"/>
          <w:sz w:val="20"/>
          <w:szCs w:val="20"/>
          <w:rtl w:val="0"/>
        </w:rPr>
        <w:t xml:space="preserve">Authority</w:t>
      </w:r>
    </w:p>
    <w:p w:rsidR="00000000" w:rsidDel="00000000" w:rsidP="00000000" w:rsidRDefault="00000000" w:rsidRPr="00000000" w14:paraId="00000031">
      <w:pPr>
        <w:numPr>
          <w:ilvl w:val="0"/>
          <w:numId w:val="2"/>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Risalah (Prophethood) including the role and importance of Adam, Ibrahim and Muhammad.</w:t>
      </w:r>
    </w:p>
    <w:p w:rsidR="00000000" w:rsidDel="00000000" w:rsidP="00000000" w:rsidRDefault="00000000" w:rsidRPr="00000000" w14:paraId="00000032">
      <w:pPr>
        <w:numPr>
          <w:ilvl w:val="0"/>
          <w:numId w:val="2"/>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holy books:</w:t>
      </w:r>
    </w:p>
    <w:p w:rsidR="00000000" w:rsidDel="00000000" w:rsidP="00000000" w:rsidRDefault="00000000" w:rsidRPr="00000000" w14:paraId="00000033">
      <w:pPr>
        <w:numPr>
          <w:ilvl w:val="1"/>
          <w:numId w:val="2"/>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Qur’an: revelation and authority</w:t>
      </w:r>
    </w:p>
    <w:p w:rsidR="00000000" w:rsidDel="00000000" w:rsidP="00000000" w:rsidRDefault="00000000" w:rsidRPr="00000000" w14:paraId="00000034">
      <w:pPr>
        <w:numPr>
          <w:ilvl w:val="1"/>
          <w:numId w:val="2"/>
        </w:numPr>
        <w:pBdr>
          <w:top w:color="2b2438" w:space="0" w:sz="0" w:val="none"/>
          <w:left w:color="2b2438" w:space="0" w:sz="0" w:val="none"/>
          <w:bottom w:color="2b2438" w:space="0" w:sz="0" w:val="none"/>
          <w:right w:color="2b2438" w:space="0" w:sz="0" w:val="none"/>
          <w:between w:color="2b2438" w:space="0" w:sz="0" w:val="none"/>
        </w:pBdr>
        <w:ind w:left="1440" w:hanging="360"/>
      </w:pPr>
      <w:r w:rsidDel="00000000" w:rsidR="00000000" w:rsidRPr="00000000">
        <w:rPr>
          <w:color w:val="2b2438"/>
          <w:rtl w:val="0"/>
        </w:rPr>
        <w:t xml:space="preserve">the Torah, the Psalms, the Gospel, the Scrolls of Abraham and their authority.</w:t>
      </w:r>
    </w:p>
    <w:p w:rsidR="00000000" w:rsidDel="00000000" w:rsidP="00000000" w:rsidRDefault="00000000" w:rsidRPr="00000000" w14:paraId="00000035">
      <w:pPr>
        <w:numPr>
          <w:ilvl w:val="0"/>
          <w:numId w:val="2"/>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The imamate in Shi'a Islam: its role and significance.</w:t>
      </w:r>
    </w:p>
    <w:p w:rsidR="00000000" w:rsidDel="00000000" w:rsidP="00000000" w:rsidRDefault="00000000" w:rsidRPr="00000000" w14:paraId="00000036">
      <w:pPr>
        <w:pStyle w:val="Heading4"/>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360" w:lineRule="auto"/>
        <w:rPr>
          <w:color w:val="2b2438"/>
        </w:rPr>
      </w:pPr>
      <w:bookmarkStart w:colFirst="0" w:colLast="0" w:name="_nrmxb8r589w3" w:id="9"/>
      <w:bookmarkEnd w:id="9"/>
      <w:r w:rsidDel="00000000" w:rsidR="00000000" w:rsidRPr="00000000">
        <w:rPr>
          <w:rtl w:val="0"/>
        </w:rPr>
      </w:r>
    </w:p>
    <w:p w:rsidR="00000000" w:rsidDel="00000000" w:rsidP="00000000" w:rsidRDefault="00000000" w:rsidRPr="00000000" w14:paraId="00000037">
      <w:pPr>
        <w:pStyle w:val="Heading4"/>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360" w:lineRule="auto"/>
        <w:rPr>
          <w:color w:val="2b2438"/>
        </w:rPr>
      </w:pPr>
      <w:bookmarkStart w:colFirst="0" w:colLast="0" w:name="_n55k4c37c3b9" w:id="10"/>
      <w:bookmarkEnd w:id="10"/>
      <w:r w:rsidDel="00000000" w:rsidR="00000000" w:rsidRPr="00000000">
        <w:rPr>
          <w:color w:val="2b2438"/>
          <w:rtl w:val="0"/>
        </w:rPr>
        <w:t xml:space="preserve">2. Practices</w:t>
      </w:r>
    </w:p>
    <w:p w:rsidR="00000000" w:rsidDel="00000000" w:rsidP="00000000" w:rsidRDefault="00000000" w:rsidRPr="00000000" w14:paraId="00000038">
      <w:pPr>
        <w:pStyle w:val="Heading5"/>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Rule="auto"/>
        <w:rPr>
          <w:color w:val="2b2438"/>
          <w:sz w:val="20"/>
          <w:szCs w:val="20"/>
        </w:rPr>
      </w:pPr>
      <w:bookmarkStart w:colFirst="0" w:colLast="0" w:name="_4g6al1lyhji0" w:id="11"/>
      <w:bookmarkEnd w:id="11"/>
      <w:r w:rsidDel="00000000" w:rsidR="00000000" w:rsidRPr="00000000">
        <w:rPr>
          <w:color w:val="2b2438"/>
          <w:sz w:val="20"/>
          <w:szCs w:val="20"/>
          <w:rtl w:val="0"/>
        </w:rPr>
        <w:t xml:space="preserve">Worship</w:t>
      </w:r>
    </w:p>
    <w:p w:rsidR="00000000" w:rsidDel="00000000" w:rsidP="00000000" w:rsidRDefault="00000000" w:rsidRPr="00000000" w14:paraId="00000039">
      <w:pPr>
        <w:numPr>
          <w:ilvl w:val="0"/>
          <w:numId w:val="5"/>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Five Pillars of Sunni Islam and the Ten Obligatory Acts of Shi’a Islam (students should study the Five Pillars and jihad in both Sunni and Shi’a Islam and the additional duties of Shi’a Islam).</w:t>
      </w:r>
    </w:p>
    <w:p w:rsidR="00000000" w:rsidDel="00000000" w:rsidP="00000000" w:rsidRDefault="00000000" w:rsidRPr="00000000" w14:paraId="0000003A">
      <w:pPr>
        <w:numPr>
          <w:ilvl w:val="0"/>
          <w:numId w:val="5"/>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Shahadah: declaration of faith and its place in Muslim practice.</w:t>
      </w:r>
    </w:p>
    <w:p w:rsidR="00000000" w:rsidDel="00000000" w:rsidP="00000000" w:rsidRDefault="00000000" w:rsidRPr="00000000" w14:paraId="0000003B">
      <w:pPr>
        <w:numPr>
          <w:ilvl w:val="0"/>
          <w:numId w:val="5"/>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Salah and its significance: how and why Muslims pray including times, directions, ablution (wudu), movements (rak’ahs) and recitations; salah in the home and mosque and elsewhere; Friday prayer: Jummah; key differences in the practice of salah in Sunni and Shi’a Islam, and different Muslim views about the importance of prayer.</w:t>
      </w:r>
    </w:p>
    <w:p w:rsidR="00000000" w:rsidDel="00000000" w:rsidP="00000000" w:rsidRDefault="00000000" w:rsidRPr="00000000" w14:paraId="0000003C">
      <w:pPr>
        <w:pStyle w:val="Heading5"/>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Rule="auto"/>
        <w:rPr>
          <w:color w:val="2b2438"/>
          <w:sz w:val="20"/>
          <w:szCs w:val="20"/>
        </w:rPr>
      </w:pPr>
      <w:bookmarkStart w:colFirst="0" w:colLast="0" w:name="_5lefhlweanft" w:id="12"/>
      <w:bookmarkEnd w:id="12"/>
      <w:r w:rsidDel="00000000" w:rsidR="00000000" w:rsidRPr="00000000">
        <w:rPr>
          <w:rtl w:val="0"/>
        </w:rPr>
      </w:r>
    </w:p>
    <w:p w:rsidR="00000000" w:rsidDel="00000000" w:rsidP="00000000" w:rsidRDefault="00000000" w:rsidRPr="00000000" w14:paraId="0000003D">
      <w:pPr>
        <w:pStyle w:val="Heading5"/>
        <w:keepNext w:val="0"/>
        <w:keepLines w:val="0"/>
        <w:pBdr>
          <w:top w:color="2b2438" w:space="0" w:sz="0" w:val="none"/>
          <w:left w:color="2b2438" w:space="0" w:sz="0" w:val="none"/>
          <w:bottom w:color="2b2438" w:space="0" w:sz="0" w:val="none"/>
          <w:right w:color="2b2438" w:space="0" w:sz="0" w:val="none"/>
          <w:between w:color="2b2438" w:space="0" w:sz="0" w:val="none"/>
        </w:pBdr>
        <w:spacing w:after="40" w:before="0" w:lineRule="auto"/>
        <w:rPr>
          <w:color w:val="2b2438"/>
          <w:sz w:val="20"/>
          <w:szCs w:val="20"/>
        </w:rPr>
      </w:pPr>
      <w:bookmarkStart w:colFirst="0" w:colLast="0" w:name="_c0wkop5hr7xv" w:id="13"/>
      <w:bookmarkEnd w:id="13"/>
      <w:r w:rsidDel="00000000" w:rsidR="00000000" w:rsidRPr="00000000">
        <w:rPr>
          <w:color w:val="2b2438"/>
          <w:sz w:val="20"/>
          <w:szCs w:val="20"/>
          <w:rtl w:val="0"/>
        </w:rPr>
        <w:t xml:space="preserve">Duties and festivals</w:t>
      </w:r>
    </w:p>
    <w:p w:rsidR="00000000" w:rsidDel="00000000" w:rsidP="00000000" w:rsidRDefault="00000000" w:rsidRPr="00000000" w14:paraId="0000003E">
      <w:pPr>
        <w:numPr>
          <w:ilvl w:val="0"/>
          <w:numId w:val="7"/>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Sawm: the role and significance of fasting during the month of Ramadan including origins, duties, benefits of fasting, the exceptions and their reasons, and the Night of Power, Qur’an 96:1-5.</w:t>
      </w:r>
    </w:p>
    <w:p w:rsidR="00000000" w:rsidDel="00000000" w:rsidP="00000000" w:rsidRDefault="00000000" w:rsidRPr="00000000" w14:paraId="0000003F">
      <w:pPr>
        <w:numPr>
          <w:ilvl w:val="0"/>
          <w:numId w:val="7"/>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Zakah: the role and significance of giving alms including origins, how and why it is given, benefits of receipt, Khums in Shi’a Islam.</w:t>
      </w:r>
    </w:p>
    <w:p w:rsidR="00000000" w:rsidDel="00000000" w:rsidP="00000000" w:rsidRDefault="00000000" w:rsidRPr="00000000" w14:paraId="00000040">
      <w:pPr>
        <w:numPr>
          <w:ilvl w:val="0"/>
          <w:numId w:val="7"/>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Hajj: the role and significance of the pilgrimage to Makkah including origins, how hajj is performed, the actions pilgrims perform at sites including the Ka’aba at Makkah, Mina, Arafat, Muzdalifah and their significance.</w:t>
      </w:r>
    </w:p>
    <w:p w:rsidR="00000000" w:rsidDel="00000000" w:rsidP="00000000" w:rsidRDefault="00000000" w:rsidRPr="00000000" w14:paraId="00000041">
      <w:pPr>
        <w:numPr>
          <w:ilvl w:val="0"/>
          <w:numId w:val="7"/>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Jihad: different understandings of jihad: the meaning and significance of greater and lesser jihad; origins, influence and conditions for the declaration of lesser jihad.</w:t>
      </w:r>
    </w:p>
    <w:p w:rsidR="00000000" w:rsidDel="00000000" w:rsidP="00000000" w:rsidRDefault="00000000" w:rsidRPr="00000000" w14:paraId="00000042">
      <w:pPr>
        <w:numPr>
          <w:ilvl w:val="0"/>
          <w:numId w:val="7"/>
        </w:numPr>
        <w:pBdr>
          <w:top w:color="2b2438" w:space="0" w:sz="0" w:val="none"/>
          <w:left w:color="2b2438" w:space="0" w:sz="0" w:val="none"/>
          <w:bottom w:color="2b2438" w:space="0" w:sz="0" w:val="none"/>
          <w:right w:color="2b2438" w:space="0" w:sz="0" w:val="none"/>
          <w:between w:color="2b2438" w:space="0" w:sz="0" w:val="none"/>
        </w:pBdr>
        <w:ind w:left="720" w:hanging="360"/>
      </w:pPr>
      <w:r w:rsidDel="00000000" w:rsidR="00000000" w:rsidRPr="00000000">
        <w:rPr>
          <w:color w:val="2b2438"/>
          <w:rtl w:val="0"/>
        </w:rPr>
        <w:t xml:space="preserve">Festivals and commemorations and their importance for Muslims in Great Britain today, including the origins and meanings of Id-ul-Adha, Id-ul-Fitr, Ashura.</w:t>
      </w:r>
    </w:p>
    <w:p w:rsidR="00000000" w:rsidDel="00000000" w:rsidP="00000000" w:rsidRDefault="00000000" w:rsidRPr="00000000" w14:paraId="00000043">
      <w:pPr>
        <w:pBdr>
          <w:top w:color="2b2438" w:space="0" w:sz="0" w:val="none"/>
          <w:left w:color="2b2438" w:space="0" w:sz="0" w:val="none"/>
          <w:bottom w:color="2b2438" w:space="0" w:sz="0" w:val="none"/>
          <w:right w:color="2b2438" w:space="0" w:sz="0" w:val="none"/>
          <w:between w:color="2b2438" w:space="0" w:sz="0" w:val="none"/>
        </w:pBdr>
        <w:rPr>
          <w:color w:val="2b2438"/>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rFonts w:ascii="Arial" w:cs="Arial" w:eastAsia="Arial" w:hAnsi="Arial"/>
        <w:b w:val="0"/>
        <w:bCs w:val="0"/>
        <w:i w:val="0"/>
        <w:iCs w:val="0"/>
        <w:smallCaps w:val="0"/>
        <w:strike w:val="0"/>
        <w:color w:val="2b243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rFonts w:ascii="Arial" w:cs="Arial" w:eastAsia="Arial" w:hAnsi="Arial"/>
        <w:b w:val="0"/>
        <w:bCs w:val="0"/>
        <w:i w:val="0"/>
        <w:iCs w:val="0"/>
        <w:smallCaps w:val="0"/>
        <w:strike w:val="0"/>
        <w:color w:val="2b243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rFonts w:ascii="Arial" w:cs="Arial" w:eastAsia="Arial" w:hAnsi="Arial"/>
        <w:b w:val="0"/>
        <w:bCs w:val="0"/>
        <w:i w:val="0"/>
        <w:iCs w:val="0"/>
        <w:smallCaps w:val="0"/>
        <w:strike w:val="0"/>
        <w:color w:val="2b243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rFonts w:ascii="Arial" w:cs="Arial" w:eastAsia="Arial" w:hAnsi="Arial"/>
        <w:b w:val="0"/>
        <w:bCs w:val="0"/>
        <w:i w:val="0"/>
        <w:iCs w:val="0"/>
        <w:smallCaps w:val="0"/>
        <w:strike w:val="0"/>
        <w:color w:val="2b243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bCs w:val="0"/>
        <w:i w:val="0"/>
        <w:iCs w:val="0"/>
        <w:smallCaps w:val="0"/>
        <w:strike w:val="0"/>
        <w:color w:val="2b2438"/>
        <w:u w:val="none"/>
      </w:rPr>
    </w:lvl>
    <w:lvl w:ilvl="1">
      <w:start w:val="1"/>
      <w:numFmt w:val="bullet"/>
      <w:lvlText w:val="○"/>
      <w:lvlJc w:val="left"/>
      <w:pPr>
        <w:ind w:left="1440" w:hanging="360"/>
      </w:pPr>
      <w:rPr>
        <w:rFonts w:ascii="Arial" w:cs="Arial" w:eastAsia="Arial" w:hAnsi="Arial"/>
        <w:b w:val="0"/>
        <w:bCs w:val="0"/>
        <w:i w:val="0"/>
        <w:iCs w:val="0"/>
        <w:smallCaps w:val="0"/>
        <w:strike w:val="0"/>
        <w:color w:val="2b243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